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60" w:lineRule="exact"/>
        <w:ind w:right="195" w:rightChars="93"/>
        <w:jc w:val="center"/>
        <w:rPr>
          <w:rFonts w:ascii="仿宋_GB2312" w:hAnsi="宋体" w:eastAsia="仿宋_GB2312" w:cs="Arial"/>
          <w:b/>
          <w:bCs/>
          <w:color w:val="000000"/>
          <w:kern w:val="0"/>
          <w:sz w:val="32"/>
          <w:szCs w:val="32"/>
        </w:rPr>
      </w:pPr>
      <w:bookmarkStart w:id="0" w:name="_GoBack"/>
      <w:r>
        <w:rPr>
          <w:rFonts w:hint="eastAsia" w:ascii="仿宋_GB2312" w:hAnsi="宋体" w:eastAsia="仿宋_GB2312" w:cs="Arial"/>
          <w:b/>
          <w:bCs/>
          <w:color w:val="000000"/>
          <w:kern w:val="0"/>
          <w:sz w:val="32"/>
          <w:szCs w:val="32"/>
        </w:rPr>
        <w:t>附件1：安徽财经大学2021年度博士人才分类和引进待遇</w:t>
      </w:r>
    </w:p>
    <w:bookmarkEnd w:id="0"/>
    <w:p>
      <w:pPr>
        <w:keepNext w:val="0"/>
        <w:keepLines w:val="0"/>
        <w:pageBreakBefore w:val="0"/>
        <w:widowControl/>
        <w:shd w:val="clear" w:color="auto" w:fill="FFFFFF"/>
        <w:kinsoku/>
        <w:wordWrap/>
        <w:overflowPunct/>
        <w:topLinePunct w:val="0"/>
        <w:autoSpaceDE/>
        <w:autoSpaceDN/>
        <w:bidi w:val="0"/>
        <w:adjustRightInd/>
        <w:snapToGrid/>
        <w:spacing w:after="150" w:line="450" w:lineRule="atLeast"/>
        <w:ind w:firstLine="643" w:firstLineChars="200"/>
        <w:jc w:val="left"/>
        <w:textAlignment w:val="auto"/>
        <w:rPr>
          <w:rFonts w:hint="eastAsia" w:ascii="仿宋_GB2312" w:hAnsi="宋体" w:eastAsia="仿宋_GB2312" w:cs="Arial"/>
          <w:b/>
          <w:bCs/>
          <w:color w:val="000000"/>
          <w:kern w:val="0"/>
          <w:sz w:val="32"/>
          <w:szCs w:val="32"/>
        </w:rPr>
      </w:pPr>
      <w:r>
        <w:rPr>
          <w:rFonts w:hint="eastAsia" w:ascii="仿宋_GB2312" w:hAnsi="宋体" w:eastAsia="仿宋_GB2312" w:cs="Arial"/>
          <w:b/>
          <w:bCs/>
          <w:color w:val="000000"/>
          <w:kern w:val="0"/>
          <w:sz w:val="32"/>
          <w:szCs w:val="32"/>
        </w:rPr>
        <w:t>一、博士人才分类</w:t>
      </w:r>
    </w:p>
    <w:p>
      <w:pPr>
        <w:widowControl/>
        <w:shd w:val="clear" w:color="auto" w:fill="FFFFFF"/>
        <w:spacing w:before="144" w:line="518" w:lineRule="atLeast"/>
        <w:ind w:firstLine="634"/>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应聘教学科研岗位博士应具有较高的思想政治素质和高尚的道德情操，遵纪守法，热爱党的教育事业，具有较好的教学研究能力，同时近四年取得较好科研业绩，根据博士个人综合素质和近四年来的科研业绩，分为以下三个层次。</w:t>
      </w:r>
    </w:p>
    <w:p>
      <w:pPr>
        <w:spacing w:line="560" w:lineRule="exact"/>
        <w:ind w:firstLine="602" w:firstLineChars="200"/>
        <w:rPr>
          <w:rFonts w:ascii="仿宋" w:hAnsi="仿宋" w:eastAsia="仿宋" w:cs="仿宋"/>
          <w:sz w:val="30"/>
          <w:szCs w:val="30"/>
        </w:rPr>
      </w:pPr>
      <w:r>
        <w:rPr>
          <w:rFonts w:hint="eastAsia" w:ascii="仿宋" w:hAnsi="仿宋" w:eastAsia="仿宋" w:cs="仿宋"/>
          <w:b/>
          <w:bCs/>
          <w:sz w:val="30"/>
          <w:szCs w:val="30"/>
        </w:rPr>
        <w:t>第一层次，符合下列条件之一：</w:t>
      </w:r>
    </w:p>
    <w:p>
      <w:pPr>
        <w:widowControl/>
        <w:shd w:val="clear" w:color="auto" w:fill="FFFFFF"/>
        <w:spacing w:before="144" w:line="518" w:lineRule="atLeast"/>
        <w:ind w:firstLine="634"/>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1.在A级以上期刊发表论文1篇以上，或在B级以上期刊发表论文2篇以上；</w:t>
      </w:r>
    </w:p>
    <w:p>
      <w:pPr>
        <w:widowControl/>
        <w:shd w:val="clear" w:color="auto" w:fill="FFFFFF"/>
        <w:spacing w:before="144" w:line="518" w:lineRule="atLeast"/>
        <w:ind w:firstLine="634"/>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2.在B级期刊发表论文1篇以上，同时在C级期刊发表论文2篇以上（CSSCI,CSCD，EI来源期刊和SCI,SSCI检索源期刊）；</w:t>
      </w:r>
    </w:p>
    <w:p>
      <w:pPr>
        <w:widowControl/>
        <w:shd w:val="clear" w:color="auto" w:fill="FFFFFF"/>
        <w:spacing w:before="144" w:line="518" w:lineRule="atLeast"/>
        <w:ind w:firstLine="634"/>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3.在C级期刊发表论文5篇以上（含CSSCI,CSCD，EI来源期刊和SCI,SSCI检索源期刊）。</w:t>
      </w:r>
    </w:p>
    <w:p>
      <w:pPr>
        <w:spacing w:line="560" w:lineRule="exact"/>
        <w:ind w:firstLine="602" w:firstLineChars="200"/>
        <w:rPr>
          <w:rFonts w:ascii="仿宋" w:hAnsi="仿宋" w:eastAsia="仿宋" w:cs="仿宋"/>
          <w:sz w:val="30"/>
          <w:szCs w:val="30"/>
        </w:rPr>
      </w:pPr>
      <w:r>
        <w:rPr>
          <w:rFonts w:hint="eastAsia" w:ascii="仿宋" w:hAnsi="仿宋" w:eastAsia="仿宋" w:cs="仿宋"/>
          <w:b/>
          <w:bCs/>
          <w:sz w:val="30"/>
          <w:szCs w:val="30"/>
        </w:rPr>
        <w:t>第二层次，符合下列条件之一：</w:t>
      </w:r>
    </w:p>
    <w:p>
      <w:pPr>
        <w:widowControl/>
        <w:shd w:val="clear" w:color="auto" w:fill="FFFFFF"/>
        <w:spacing w:before="144" w:line="518" w:lineRule="atLeast"/>
        <w:ind w:firstLine="634"/>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1.在B级期刊发表论文1篇以上；</w:t>
      </w:r>
    </w:p>
    <w:p>
      <w:pPr>
        <w:widowControl/>
        <w:shd w:val="clear" w:color="auto" w:fill="FFFFFF"/>
        <w:spacing w:before="144" w:line="518" w:lineRule="atLeast"/>
        <w:ind w:firstLine="634"/>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2.在C级期刊发表论文3篇以上（含CSSCI,CSCD，EI来源期刊和SCI,SSCI检索源期刊）。</w:t>
      </w:r>
    </w:p>
    <w:p>
      <w:pPr>
        <w:spacing w:line="56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第三层次，胜任教学科研岗位要求的博士。</w:t>
      </w:r>
    </w:p>
    <w:p>
      <w:pPr>
        <w:widowControl/>
        <w:shd w:val="clear" w:color="auto" w:fill="FFFFFF"/>
        <w:spacing w:before="144" w:line="518" w:lineRule="atLeast"/>
        <w:ind w:firstLine="634"/>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备注：以上期刊分类按照《安徽财经大学学术期刊目录》（2019）执行， SCI、SSCI和EI来源期刊是第一作者或通讯作者，其它成果均为第一作者。其博士指导教师第1作者，个人第2作者的视同为第1作者。</w:t>
      </w:r>
    </w:p>
    <w:p>
      <w:pPr>
        <w:keepNext w:val="0"/>
        <w:keepLines w:val="0"/>
        <w:pageBreakBefore w:val="0"/>
        <w:widowControl/>
        <w:shd w:val="clear" w:color="auto" w:fill="FFFFFF"/>
        <w:kinsoku/>
        <w:wordWrap/>
        <w:overflowPunct/>
        <w:topLinePunct w:val="0"/>
        <w:autoSpaceDE/>
        <w:autoSpaceDN/>
        <w:bidi w:val="0"/>
        <w:adjustRightInd/>
        <w:snapToGrid/>
        <w:spacing w:after="150" w:line="450" w:lineRule="atLeast"/>
        <w:ind w:firstLine="643" w:firstLineChars="200"/>
        <w:jc w:val="left"/>
        <w:textAlignment w:val="auto"/>
        <w:rPr>
          <w:rFonts w:hint="eastAsia" w:ascii="仿宋_GB2312" w:hAnsi="宋体" w:eastAsia="仿宋_GB2312" w:cs="Arial"/>
          <w:b/>
          <w:bCs/>
          <w:color w:val="000000"/>
          <w:kern w:val="0"/>
          <w:sz w:val="32"/>
          <w:szCs w:val="32"/>
        </w:rPr>
      </w:pPr>
      <w:r>
        <w:rPr>
          <w:rFonts w:hint="eastAsia" w:ascii="仿宋_GB2312" w:hAnsi="宋体" w:eastAsia="仿宋_GB2312" w:cs="Arial"/>
          <w:b/>
          <w:bCs/>
          <w:color w:val="000000"/>
          <w:kern w:val="0"/>
          <w:sz w:val="32"/>
          <w:szCs w:val="32"/>
        </w:rPr>
        <w:t>二、博士引进待遇</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9"/>
        <w:gridCol w:w="1470"/>
        <w:gridCol w:w="1526"/>
        <w:gridCol w:w="1304"/>
        <w:gridCol w:w="1304"/>
        <w:gridCol w:w="16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exact"/>
          <w:jc w:val="center"/>
        </w:trPr>
        <w:tc>
          <w:tcPr>
            <w:tcW w:w="2123" w:type="dxa"/>
            <w:vAlign w:val="center"/>
          </w:tcPr>
          <w:p>
            <w:pPr>
              <w:jc w:val="center"/>
              <w:rPr>
                <w:rFonts w:ascii="仿宋" w:hAnsi="仿宋" w:eastAsia="仿宋" w:cs="仿宋"/>
                <w:b/>
                <w:bCs/>
                <w:kern w:val="0"/>
                <w:sz w:val="20"/>
                <w:szCs w:val="20"/>
              </w:rPr>
            </w:pPr>
            <w:r>
              <w:rPr>
                <w:rFonts w:hint="eastAsia" w:ascii="仿宋" w:hAnsi="仿宋" w:eastAsia="仿宋" w:cs="仿宋"/>
                <w:b/>
                <w:bCs/>
                <w:kern w:val="0"/>
                <w:sz w:val="20"/>
                <w:szCs w:val="20"/>
              </w:rPr>
              <w:t>专任教师</w:t>
            </w:r>
          </w:p>
          <w:p>
            <w:pPr>
              <w:jc w:val="center"/>
              <w:rPr>
                <w:rFonts w:ascii="仿宋" w:hAnsi="仿宋" w:eastAsia="仿宋" w:cs="仿宋"/>
                <w:b/>
                <w:bCs/>
                <w:kern w:val="0"/>
                <w:sz w:val="20"/>
                <w:szCs w:val="20"/>
              </w:rPr>
            </w:pPr>
            <w:r>
              <w:rPr>
                <w:rFonts w:hint="eastAsia" w:ascii="仿宋" w:hAnsi="仿宋" w:eastAsia="仿宋" w:cs="仿宋"/>
                <w:b/>
                <w:bCs/>
                <w:kern w:val="0"/>
                <w:sz w:val="20"/>
                <w:szCs w:val="20"/>
              </w:rPr>
              <w:t>人才类别</w:t>
            </w:r>
          </w:p>
        </w:tc>
        <w:tc>
          <w:tcPr>
            <w:tcW w:w="2208" w:type="dxa"/>
            <w:vAlign w:val="center"/>
          </w:tcPr>
          <w:p>
            <w:pPr>
              <w:jc w:val="center"/>
              <w:rPr>
                <w:rFonts w:ascii="仿宋" w:hAnsi="仿宋" w:eastAsia="仿宋" w:cs="仿宋"/>
                <w:b/>
                <w:bCs/>
                <w:kern w:val="0"/>
                <w:sz w:val="20"/>
                <w:szCs w:val="20"/>
              </w:rPr>
            </w:pPr>
            <w:r>
              <w:rPr>
                <w:rFonts w:hint="eastAsia" w:ascii="仿宋" w:hAnsi="仿宋" w:eastAsia="仿宋" w:cs="仿宋"/>
                <w:b/>
                <w:bCs/>
                <w:kern w:val="0"/>
                <w:sz w:val="20"/>
                <w:szCs w:val="20"/>
              </w:rPr>
              <w:t>总待遇</w:t>
            </w:r>
          </w:p>
        </w:tc>
        <w:tc>
          <w:tcPr>
            <w:tcW w:w="2552" w:type="dxa"/>
            <w:vAlign w:val="center"/>
          </w:tcPr>
          <w:p>
            <w:pPr>
              <w:jc w:val="center"/>
              <w:rPr>
                <w:rFonts w:ascii="仿宋" w:hAnsi="仿宋" w:eastAsia="仿宋" w:cs="仿宋"/>
                <w:b/>
                <w:bCs/>
                <w:kern w:val="0"/>
                <w:sz w:val="20"/>
                <w:szCs w:val="20"/>
              </w:rPr>
            </w:pPr>
            <w:r>
              <w:rPr>
                <w:rFonts w:hint="eastAsia" w:ascii="仿宋" w:hAnsi="仿宋" w:eastAsia="仿宋" w:cs="仿宋"/>
                <w:b/>
                <w:bCs/>
                <w:kern w:val="0"/>
                <w:sz w:val="20"/>
                <w:szCs w:val="20"/>
              </w:rPr>
              <w:t>购房与安家</w:t>
            </w:r>
          </w:p>
          <w:p>
            <w:pPr>
              <w:jc w:val="center"/>
              <w:rPr>
                <w:rFonts w:ascii="仿宋" w:hAnsi="仿宋" w:eastAsia="仿宋" w:cs="仿宋"/>
                <w:b/>
                <w:bCs/>
                <w:kern w:val="0"/>
                <w:sz w:val="20"/>
                <w:szCs w:val="20"/>
              </w:rPr>
            </w:pPr>
            <w:r>
              <w:rPr>
                <w:rFonts w:hint="eastAsia" w:ascii="仿宋" w:hAnsi="仿宋" w:eastAsia="仿宋" w:cs="仿宋"/>
                <w:b/>
                <w:bCs/>
                <w:kern w:val="0"/>
                <w:sz w:val="20"/>
                <w:szCs w:val="20"/>
              </w:rPr>
              <w:t>补贴</w:t>
            </w:r>
          </w:p>
        </w:tc>
        <w:tc>
          <w:tcPr>
            <w:tcW w:w="2079" w:type="dxa"/>
            <w:vAlign w:val="center"/>
          </w:tcPr>
          <w:p>
            <w:pPr>
              <w:jc w:val="center"/>
              <w:rPr>
                <w:rFonts w:ascii="仿宋" w:hAnsi="仿宋" w:eastAsia="仿宋" w:cs="仿宋"/>
                <w:b/>
                <w:bCs/>
                <w:kern w:val="0"/>
                <w:sz w:val="20"/>
                <w:szCs w:val="20"/>
              </w:rPr>
            </w:pPr>
            <w:r>
              <w:rPr>
                <w:rFonts w:hint="eastAsia" w:ascii="仿宋" w:hAnsi="仿宋" w:eastAsia="仿宋" w:cs="仿宋"/>
                <w:b/>
                <w:bCs/>
                <w:kern w:val="0"/>
                <w:sz w:val="20"/>
                <w:szCs w:val="20"/>
              </w:rPr>
              <w:t>科研启动</w:t>
            </w:r>
          </w:p>
          <w:p>
            <w:pPr>
              <w:jc w:val="center"/>
              <w:rPr>
                <w:rFonts w:ascii="仿宋" w:hAnsi="仿宋" w:eastAsia="仿宋" w:cs="仿宋"/>
                <w:b/>
                <w:bCs/>
                <w:kern w:val="0"/>
                <w:sz w:val="20"/>
                <w:szCs w:val="20"/>
              </w:rPr>
            </w:pPr>
            <w:r>
              <w:rPr>
                <w:rFonts w:hint="eastAsia" w:ascii="仿宋" w:hAnsi="仿宋" w:eastAsia="仿宋" w:cs="仿宋"/>
                <w:b/>
                <w:bCs/>
                <w:kern w:val="0"/>
                <w:sz w:val="20"/>
                <w:szCs w:val="20"/>
              </w:rPr>
              <w:t>经费</w:t>
            </w:r>
          </w:p>
        </w:tc>
        <w:tc>
          <w:tcPr>
            <w:tcW w:w="2079" w:type="dxa"/>
            <w:vAlign w:val="center"/>
          </w:tcPr>
          <w:p>
            <w:pPr>
              <w:jc w:val="center"/>
              <w:rPr>
                <w:rFonts w:ascii="仿宋" w:hAnsi="仿宋" w:eastAsia="仿宋" w:cs="仿宋"/>
                <w:b/>
                <w:bCs/>
                <w:kern w:val="0"/>
                <w:sz w:val="20"/>
                <w:szCs w:val="20"/>
              </w:rPr>
            </w:pPr>
            <w:r>
              <w:rPr>
                <w:rFonts w:hint="eastAsia" w:ascii="仿宋" w:hAnsi="仿宋" w:eastAsia="仿宋" w:cs="仿宋"/>
                <w:b/>
                <w:bCs/>
                <w:kern w:val="0"/>
                <w:sz w:val="20"/>
                <w:szCs w:val="20"/>
              </w:rPr>
              <w:t>租房补贴</w:t>
            </w:r>
          </w:p>
          <w:p>
            <w:pPr>
              <w:jc w:val="center"/>
              <w:rPr>
                <w:rFonts w:ascii="仿宋" w:hAnsi="仿宋" w:eastAsia="仿宋" w:cs="仿宋"/>
                <w:b/>
                <w:bCs/>
                <w:kern w:val="0"/>
                <w:sz w:val="20"/>
                <w:szCs w:val="20"/>
              </w:rPr>
            </w:pPr>
            <w:r>
              <w:rPr>
                <w:rFonts w:hint="eastAsia" w:ascii="仿宋" w:hAnsi="仿宋" w:eastAsia="仿宋" w:cs="仿宋"/>
                <w:b/>
                <w:bCs/>
                <w:kern w:val="0"/>
                <w:sz w:val="20"/>
                <w:szCs w:val="20"/>
              </w:rPr>
              <w:t>或过渡住房</w:t>
            </w:r>
          </w:p>
        </w:tc>
        <w:tc>
          <w:tcPr>
            <w:tcW w:w="2921" w:type="dxa"/>
            <w:vAlign w:val="center"/>
          </w:tcPr>
          <w:p>
            <w:pPr>
              <w:jc w:val="center"/>
              <w:rPr>
                <w:rFonts w:ascii="仿宋" w:hAnsi="仿宋" w:eastAsia="仿宋" w:cs="仿宋"/>
                <w:b/>
                <w:bCs/>
                <w:kern w:val="0"/>
                <w:sz w:val="20"/>
                <w:szCs w:val="20"/>
              </w:rPr>
            </w:pPr>
            <w:r>
              <w:rPr>
                <w:rFonts w:hint="eastAsia" w:ascii="仿宋" w:hAnsi="仿宋" w:eastAsia="仿宋" w:cs="仿宋"/>
                <w:b/>
                <w:bCs/>
                <w:kern w:val="0"/>
                <w:sz w:val="20"/>
                <w:szCs w:val="20"/>
              </w:rPr>
              <w:t>浮动待遇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23" w:type="dxa"/>
            <w:vAlign w:val="center"/>
          </w:tcPr>
          <w:p>
            <w:pPr>
              <w:rPr>
                <w:rFonts w:ascii="仿宋" w:hAnsi="仿宋" w:eastAsia="仿宋" w:cs="仿宋"/>
                <w:kern w:val="0"/>
                <w:sz w:val="20"/>
                <w:szCs w:val="20"/>
              </w:rPr>
            </w:pPr>
            <w:r>
              <w:rPr>
                <w:rFonts w:hint="eastAsia" w:ascii="仿宋" w:hAnsi="仿宋" w:eastAsia="仿宋" w:cs="仿宋"/>
                <w:kern w:val="0"/>
                <w:sz w:val="20"/>
                <w:szCs w:val="20"/>
              </w:rPr>
              <w:t>第一层次</w:t>
            </w:r>
          </w:p>
        </w:tc>
        <w:tc>
          <w:tcPr>
            <w:tcW w:w="2208" w:type="dxa"/>
            <w:vAlign w:val="center"/>
          </w:tcPr>
          <w:p>
            <w:pPr>
              <w:rPr>
                <w:rFonts w:ascii="仿宋" w:hAnsi="仿宋" w:eastAsia="仿宋" w:cs="仿宋"/>
                <w:kern w:val="0"/>
                <w:sz w:val="20"/>
                <w:szCs w:val="20"/>
              </w:rPr>
            </w:pPr>
            <w:r>
              <w:rPr>
                <w:rFonts w:hint="eastAsia" w:ascii="仿宋" w:hAnsi="仿宋" w:eastAsia="仿宋" w:cs="仿宋"/>
                <w:kern w:val="0"/>
                <w:sz w:val="20"/>
                <w:szCs w:val="20"/>
              </w:rPr>
              <w:t>80-120万元</w:t>
            </w:r>
          </w:p>
        </w:tc>
        <w:tc>
          <w:tcPr>
            <w:tcW w:w="2552" w:type="dxa"/>
            <w:vAlign w:val="center"/>
          </w:tcPr>
          <w:p>
            <w:pPr>
              <w:rPr>
                <w:rFonts w:ascii="仿宋" w:hAnsi="仿宋" w:eastAsia="仿宋" w:cs="仿宋"/>
                <w:kern w:val="0"/>
                <w:sz w:val="20"/>
                <w:szCs w:val="20"/>
              </w:rPr>
            </w:pPr>
            <w:r>
              <w:rPr>
                <w:rFonts w:hint="eastAsia" w:ascii="仿宋" w:hAnsi="仿宋" w:eastAsia="仿宋" w:cs="仿宋"/>
                <w:kern w:val="0"/>
                <w:sz w:val="20"/>
                <w:szCs w:val="20"/>
              </w:rPr>
              <w:t>72万元（其中安家费10万元）</w:t>
            </w:r>
          </w:p>
        </w:tc>
        <w:tc>
          <w:tcPr>
            <w:tcW w:w="2079" w:type="dxa"/>
            <w:vAlign w:val="center"/>
          </w:tcPr>
          <w:p>
            <w:pPr>
              <w:rPr>
                <w:rFonts w:ascii="仿宋" w:hAnsi="仿宋" w:eastAsia="仿宋" w:cs="仿宋"/>
                <w:kern w:val="0"/>
                <w:sz w:val="20"/>
                <w:szCs w:val="20"/>
              </w:rPr>
            </w:pPr>
            <w:r>
              <w:rPr>
                <w:rFonts w:hint="eastAsia" w:ascii="仿宋" w:hAnsi="仿宋" w:eastAsia="仿宋" w:cs="仿宋"/>
                <w:kern w:val="0"/>
                <w:sz w:val="20"/>
                <w:szCs w:val="20"/>
              </w:rPr>
              <w:t>社科：8万元</w:t>
            </w:r>
          </w:p>
          <w:p>
            <w:pPr>
              <w:rPr>
                <w:rFonts w:ascii="仿宋" w:hAnsi="仿宋" w:eastAsia="仿宋" w:cs="仿宋"/>
                <w:kern w:val="0"/>
                <w:sz w:val="20"/>
                <w:szCs w:val="20"/>
              </w:rPr>
            </w:pPr>
            <w:r>
              <w:rPr>
                <w:rFonts w:hint="eastAsia" w:ascii="仿宋" w:hAnsi="仿宋" w:eastAsia="仿宋" w:cs="仿宋"/>
                <w:kern w:val="0"/>
                <w:sz w:val="20"/>
                <w:szCs w:val="20"/>
              </w:rPr>
              <w:t>理工：10万元</w:t>
            </w:r>
          </w:p>
        </w:tc>
        <w:tc>
          <w:tcPr>
            <w:tcW w:w="2079" w:type="dxa"/>
            <w:vMerge w:val="restart"/>
            <w:vAlign w:val="center"/>
          </w:tcPr>
          <w:p>
            <w:pPr>
              <w:rPr>
                <w:rFonts w:ascii="仿宋" w:hAnsi="仿宋" w:eastAsia="仿宋" w:cs="仿宋"/>
                <w:kern w:val="0"/>
                <w:sz w:val="20"/>
                <w:szCs w:val="20"/>
              </w:rPr>
            </w:pPr>
            <w:r>
              <w:rPr>
                <w:rFonts w:hint="eastAsia" w:ascii="仿宋" w:hAnsi="仿宋" w:eastAsia="仿宋" w:cs="仿宋"/>
                <w:kern w:val="0"/>
                <w:sz w:val="20"/>
                <w:szCs w:val="20"/>
              </w:rPr>
              <w:t>1.2万元/年（3年）或三年期过渡住房一套</w:t>
            </w:r>
          </w:p>
        </w:tc>
        <w:tc>
          <w:tcPr>
            <w:tcW w:w="2921" w:type="dxa"/>
            <w:vMerge w:val="restart"/>
            <w:vAlign w:val="center"/>
          </w:tcPr>
          <w:p>
            <w:pPr>
              <w:rPr>
                <w:rFonts w:ascii="仿宋" w:hAnsi="仿宋" w:eastAsia="仿宋" w:cs="仿宋"/>
                <w:kern w:val="0"/>
                <w:sz w:val="20"/>
                <w:szCs w:val="20"/>
              </w:rPr>
            </w:pPr>
            <w:r>
              <w:rPr>
                <w:rFonts w:hint="eastAsia" w:ascii="仿宋" w:hAnsi="仿宋" w:eastAsia="仿宋" w:cs="仿宋"/>
                <w:kern w:val="0"/>
                <w:sz w:val="20"/>
                <w:szCs w:val="20"/>
              </w:rPr>
              <w:t>博士后或有一年以上海外学习进修经历购房补贴上浮5-10万元，入职三年内取得相应科研成果购房补贴最高可以增加30万元。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23" w:type="dxa"/>
            <w:vAlign w:val="center"/>
          </w:tcPr>
          <w:p>
            <w:pPr>
              <w:rPr>
                <w:rFonts w:ascii="仿宋" w:hAnsi="仿宋" w:eastAsia="仿宋" w:cs="仿宋"/>
                <w:kern w:val="0"/>
                <w:sz w:val="20"/>
                <w:szCs w:val="20"/>
              </w:rPr>
            </w:pPr>
            <w:r>
              <w:rPr>
                <w:rFonts w:hint="eastAsia" w:ascii="仿宋" w:hAnsi="仿宋" w:eastAsia="仿宋" w:cs="仿宋"/>
                <w:kern w:val="0"/>
                <w:sz w:val="20"/>
                <w:szCs w:val="20"/>
              </w:rPr>
              <w:t>第二层次</w:t>
            </w:r>
          </w:p>
        </w:tc>
        <w:tc>
          <w:tcPr>
            <w:tcW w:w="2208" w:type="dxa"/>
            <w:vAlign w:val="center"/>
          </w:tcPr>
          <w:p>
            <w:pPr>
              <w:rPr>
                <w:rFonts w:ascii="仿宋" w:hAnsi="仿宋" w:eastAsia="仿宋" w:cs="仿宋"/>
                <w:kern w:val="0"/>
                <w:sz w:val="20"/>
                <w:szCs w:val="20"/>
              </w:rPr>
            </w:pPr>
            <w:r>
              <w:rPr>
                <w:rFonts w:hint="eastAsia" w:ascii="仿宋" w:hAnsi="仿宋" w:eastAsia="仿宋" w:cs="仿宋"/>
                <w:kern w:val="0"/>
                <w:sz w:val="20"/>
                <w:szCs w:val="20"/>
              </w:rPr>
              <w:t>70-110万元</w:t>
            </w:r>
          </w:p>
        </w:tc>
        <w:tc>
          <w:tcPr>
            <w:tcW w:w="2552" w:type="dxa"/>
            <w:vAlign w:val="center"/>
          </w:tcPr>
          <w:p>
            <w:pPr>
              <w:rPr>
                <w:rFonts w:ascii="仿宋" w:hAnsi="仿宋" w:eastAsia="仿宋" w:cs="仿宋"/>
                <w:kern w:val="0"/>
                <w:sz w:val="20"/>
                <w:szCs w:val="20"/>
              </w:rPr>
            </w:pPr>
            <w:r>
              <w:rPr>
                <w:rFonts w:hint="eastAsia" w:ascii="仿宋" w:hAnsi="仿宋" w:eastAsia="仿宋" w:cs="仿宋"/>
                <w:kern w:val="0"/>
                <w:sz w:val="20"/>
                <w:szCs w:val="20"/>
              </w:rPr>
              <w:t>63万元（其中安家费8万元）</w:t>
            </w:r>
          </w:p>
        </w:tc>
        <w:tc>
          <w:tcPr>
            <w:tcW w:w="2079" w:type="dxa"/>
            <w:vAlign w:val="center"/>
          </w:tcPr>
          <w:p>
            <w:pPr>
              <w:rPr>
                <w:rFonts w:ascii="仿宋" w:hAnsi="仿宋" w:eastAsia="仿宋" w:cs="仿宋"/>
                <w:kern w:val="0"/>
                <w:sz w:val="20"/>
                <w:szCs w:val="20"/>
              </w:rPr>
            </w:pPr>
            <w:r>
              <w:rPr>
                <w:rFonts w:hint="eastAsia" w:ascii="仿宋" w:hAnsi="仿宋" w:eastAsia="仿宋" w:cs="仿宋"/>
                <w:kern w:val="0"/>
                <w:sz w:val="20"/>
                <w:szCs w:val="20"/>
              </w:rPr>
              <w:t>社科：7万元</w:t>
            </w:r>
          </w:p>
          <w:p>
            <w:pPr>
              <w:rPr>
                <w:rFonts w:ascii="仿宋" w:hAnsi="仿宋" w:eastAsia="仿宋" w:cs="仿宋"/>
                <w:kern w:val="0"/>
                <w:sz w:val="20"/>
                <w:szCs w:val="20"/>
              </w:rPr>
            </w:pPr>
            <w:r>
              <w:rPr>
                <w:rFonts w:hint="eastAsia" w:ascii="仿宋" w:hAnsi="仿宋" w:eastAsia="仿宋" w:cs="仿宋"/>
                <w:kern w:val="0"/>
                <w:sz w:val="20"/>
                <w:szCs w:val="20"/>
              </w:rPr>
              <w:t>理工：9万元</w:t>
            </w:r>
          </w:p>
        </w:tc>
        <w:tc>
          <w:tcPr>
            <w:tcW w:w="2079" w:type="dxa"/>
            <w:vMerge w:val="continue"/>
            <w:vAlign w:val="center"/>
          </w:tcPr>
          <w:p>
            <w:pPr>
              <w:spacing w:line="560" w:lineRule="exact"/>
              <w:ind w:firstLine="360" w:firstLineChars="200"/>
              <w:jc w:val="center"/>
              <w:rPr>
                <w:rFonts w:ascii="仿宋" w:hAnsi="仿宋" w:eastAsia="仿宋" w:cs="仿宋"/>
                <w:kern w:val="0"/>
                <w:sz w:val="18"/>
                <w:szCs w:val="18"/>
              </w:rPr>
            </w:pPr>
          </w:p>
        </w:tc>
        <w:tc>
          <w:tcPr>
            <w:tcW w:w="2921" w:type="dxa"/>
            <w:vMerge w:val="continue"/>
            <w:vAlign w:val="center"/>
          </w:tcPr>
          <w:p>
            <w:pPr>
              <w:spacing w:line="560" w:lineRule="exact"/>
              <w:ind w:firstLine="360" w:firstLineChars="200"/>
              <w:jc w:val="center"/>
              <w:rPr>
                <w:rFonts w:ascii="仿宋" w:hAnsi="仿宋" w:eastAsia="仿宋" w:cs="仿宋"/>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23" w:type="dxa"/>
            <w:vAlign w:val="center"/>
          </w:tcPr>
          <w:p>
            <w:pPr>
              <w:rPr>
                <w:rFonts w:ascii="仿宋" w:hAnsi="仿宋" w:eastAsia="仿宋" w:cs="仿宋"/>
                <w:kern w:val="0"/>
                <w:sz w:val="20"/>
                <w:szCs w:val="20"/>
              </w:rPr>
            </w:pPr>
            <w:r>
              <w:rPr>
                <w:rFonts w:hint="eastAsia" w:ascii="仿宋" w:hAnsi="仿宋" w:eastAsia="仿宋" w:cs="仿宋"/>
                <w:kern w:val="0"/>
                <w:sz w:val="20"/>
                <w:szCs w:val="20"/>
              </w:rPr>
              <w:t>第三层次</w:t>
            </w:r>
          </w:p>
        </w:tc>
        <w:tc>
          <w:tcPr>
            <w:tcW w:w="2208" w:type="dxa"/>
            <w:vAlign w:val="center"/>
          </w:tcPr>
          <w:p>
            <w:pPr>
              <w:rPr>
                <w:rFonts w:ascii="仿宋" w:hAnsi="仿宋" w:eastAsia="仿宋" w:cs="仿宋"/>
                <w:kern w:val="0"/>
                <w:sz w:val="20"/>
                <w:szCs w:val="20"/>
              </w:rPr>
            </w:pPr>
            <w:r>
              <w:rPr>
                <w:rFonts w:hint="eastAsia" w:ascii="仿宋" w:hAnsi="仿宋" w:eastAsia="仿宋" w:cs="仿宋"/>
                <w:kern w:val="0"/>
                <w:sz w:val="20"/>
                <w:szCs w:val="20"/>
              </w:rPr>
              <w:t>60-100万元</w:t>
            </w:r>
          </w:p>
        </w:tc>
        <w:tc>
          <w:tcPr>
            <w:tcW w:w="2552" w:type="dxa"/>
            <w:vAlign w:val="center"/>
          </w:tcPr>
          <w:p>
            <w:pPr>
              <w:rPr>
                <w:rFonts w:ascii="仿宋" w:hAnsi="仿宋" w:eastAsia="仿宋" w:cs="仿宋"/>
                <w:kern w:val="0"/>
                <w:sz w:val="20"/>
                <w:szCs w:val="20"/>
              </w:rPr>
            </w:pPr>
            <w:r>
              <w:rPr>
                <w:rFonts w:hint="eastAsia" w:ascii="仿宋" w:hAnsi="仿宋" w:eastAsia="仿宋" w:cs="仿宋"/>
                <w:kern w:val="0"/>
                <w:sz w:val="20"/>
                <w:szCs w:val="20"/>
              </w:rPr>
              <w:t>54万元（其中安家费6万元）</w:t>
            </w:r>
          </w:p>
        </w:tc>
        <w:tc>
          <w:tcPr>
            <w:tcW w:w="2079" w:type="dxa"/>
            <w:vAlign w:val="center"/>
          </w:tcPr>
          <w:p>
            <w:pPr>
              <w:rPr>
                <w:rFonts w:ascii="仿宋" w:hAnsi="仿宋" w:eastAsia="仿宋" w:cs="仿宋"/>
                <w:kern w:val="0"/>
                <w:sz w:val="20"/>
                <w:szCs w:val="20"/>
              </w:rPr>
            </w:pPr>
            <w:r>
              <w:rPr>
                <w:rFonts w:hint="eastAsia" w:ascii="仿宋" w:hAnsi="仿宋" w:eastAsia="仿宋" w:cs="仿宋"/>
                <w:kern w:val="0"/>
                <w:sz w:val="20"/>
                <w:szCs w:val="20"/>
              </w:rPr>
              <w:t>社科：6万元</w:t>
            </w:r>
          </w:p>
          <w:p>
            <w:pPr>
              <w:rPr>
                <w:rFonts w:ascii="仿宋" w:hAnsi="仿宋" w:eastAsia="仿宋" w:cs="仿宋"/>
                <w:kern w:val="0"/>
                <w:sz w:val="20"/>
                <w:szCs w:val="20"/>
              </w:rPr>
            </w:pPr>
            <w:r>
              <w:rPr>
                <w:rFonts w:hint="eastAsia" w:ascii="仿宋" w:hAnsi="仿宋" w:eastAsia="仿宋" w:cs="仿宋"/>
                <w:kern w:val="0"/>
                <w:sz w:val="20"/>
                <w:szCs w:val="20"/>
              </w:rPr>
              <w:t>理工：8万元</w:t>
            </w:r>
          </w:p>
        </w:tc>
        <w:tc>
          <w:tcPr>
            <w:tcW w:w="2079" w:type="dxa"/>
            <w:vMerge w:val="continue"/>
            <w:vAlign w:val="center"/>
          </w:tcPr>
          <w:p>
            <w:pPr>
              <w:spacing w:line="560" w:lineRule="exact"/>
              <w:ind w:firstLine="360" w:firstLineChars="200"/>
              <w:jc w:val="center"/>
              <w:rPr>
                <w:rFonts w:ascii="仿宋" w:hAnsi="仿宋" w:eastAsia="仿宋" w:cs="仿宋"/>
                <w:kern w:val="0"/>
                <w:sz w:val="18"/>
                <w:szCs w:val="18"/>
              </w:rPr>
            </w:pPr>
          </w:p>
        </w:tc>
        <w:tc>
          <w:tcPr>
            <w:tcW w:w="2921" w:type="dxa"/>
            <w:vMerge w:val="continue"/>
            <w:vAlign w:val="center"/>
          </w:tcPr>
          <w:p>
            <w:pPr>
              <w:spacing w:line="560" w:lineRule="exact"/>
              <w:ind w:firstLine="360" w:firstLineChars="200"/>
              <w:jc w:val="center"/>
              <w:rPr>
                <w:rFonts w:ascii="仿宋" w:hAnsi="仿宋" w:eastAsia="仿宋" w:cs="仿宋"/>
                <w:kern w:val="0"/>
                <w:sz w:val="18"/>
                <w:szCs w:val="18"/>
              </w:rPr>
            </w:pPr>
          </w:p>
        </w:tc>
      </w:tr>
    </w:tbl>
    <w:p>
      <w:pPr>
        <w:widowControl/>
        <w:shd w:val="clear" w:color="auto" w:fill="FFFFFF"/>
        <w:spacing w:before="144" w:line="518" w:lineRule="atLeast"/>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其它待遇：</w:t>
      </w:r>
    </w:p>
    <w:p>
      <w:pPr>
        <w:widowControl/>
        <w:shd w:val="clear" w:color="auto" w:fill="FFFFFF"/>
        <w:spacing w:before="144" w:line="518" w:lineRule="atLeast"/>
        <w:ind w:firstLine="634"/>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1.博士享受副教授绩效待遇3年，优秀博士后享受教授绩效待遇3年。</w:t>
      </w:r>
    </w:p>
    <w:p>
      <w:pPr>
        <w:widowControl/>
        <w:shd w:val="clear" w:color="auto" w:fill="FFFFFF"/>
        <w:spacing w:before="144" w:line="518" w:lineRule="atLeast"/>
        <w:ind w:firstLine="634"/>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2.提供有竞争力的教学科研奖励配套政策。</w:t>
      </w:r>
    </w:p>
    <w:p>
      <w:pPr>
        <w:widowControl/>
        <w:shd w:val="clear" w:color="auto" w:fill="FFFFFF"/>
        <w:spacing w:before="144" w:line="518" w:lineRule="atLeast"/>
        <w:ind w:firstLine="634"/>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3.优秀博士可采取龙湖学者方式聘任，特别优秀的博士待遇面议。</w:t>
      </w:r>
    </w:p>
    <w:p>
      <w:pPr>
        <w:widowControl/>
        <w:shd w:val="clear" w:color="auto" w:fill="FFFFFF"/>
        <w:spacing w:before="144" w:line="518" w:lineRule="atLeast"/>
        <w:ind w:firstLine="634"/>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4.根据学校有关文件，依据个人条件解决配偶工作问题，为博士子女入学提供支持。</w:t>
      </w:r>
    </w:p>
    <w:p>
      <w:pPr>
        <w:widowControl/>
        <w:shd w:val="clear" w:color="auto" w:fill="FFFFFF"/>
        <w:spacing w:before="144" w:line="518" w:lineRule="atLeast"/>
        <w:ind w:firstLine="634"/>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5.紧缺专业博士会计学（含财务管理、审计）、金融学（含保险、金融工程）上浮一个层次提供待遇，博士后或有一年以上海外学习进修经历，根据其实际情况，在原有购房补贴基础上浮5-10万元。</w:t>
      </w:r>
    </w:p>
    <w:p>
      <w:pPr>
        <w:widowControl/>
        <w:shd w:val="clear" w:color="auto" w:fill="FFFFFF"/>
        <w:spacing w:before="144" w:line="518" w:lineRule="atLeast"/>
        <w:ind w:firstLine="634"/>
        <w:jc w:val="left"/>
        <w:rPr>
          <w:rFonts w:hint="eastAsia"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6.入职三年内，在校定A+级期刊发表论文1篇，增加购房补贴10万元；在A级期刊发表论文1篇，或者申报立项A级纵向科研项目1项，增加购房补贴6万元（其中SCI/SSCI 二区3万元）；在B级期刊发表论文1篇，增加购房补贴2万元（其中SCI/SSCI 三区1万元）；在C级期刊发表论文2篇以上，每篇增加购房补贴6000元。购房补贴增加总额不超过30万元，学校科研超工作量正常发放，年薪制（协议工资）、龙湖学者作为目标任务的科研成果不享受该项政策。以上论文成果SCI、SSCI和EI来源期刊须是第一作者或通讯作者，其它成果均须为第一作者或主持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9</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70859"/>
    <w:rsid w:val="279C58BB"/>
    <w:rsid w:val="39616356"/>
    <w:rsid w:val="55010C05"/>
    <w:rsid w:val="60701546"/>
    <w:rsid w:val="7D375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uiPriority w:val="1"/>
  </w:style>
  <w:style w:type="table" w:default="1" w:styleId="4">
    <w:name w:val="Normal Table"/>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页眉 Char"/>
    <w:basedOn w:val="6"/>
    <w:link w:val="3"/>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Win7w.Com</Company>
  <Pages>9</Pages>
  <Words>3882</Words>
  <Characters>4146</Characters>
  <Paragraphs>105</Paragraphs>
  <TotalTime>32</TotalTime>
  <ScaleCrop>false</ScaleCrop>
  <LinksUpToDate>false</LinksUpToDate>
  <CharactersWithSpaces>4151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2021-06-11T01:49:00Z</dcterms:created>
  <dc:creator>张献民</dc:creator>
  <cp:lastModifiedBy>随心</cp:lastModifiedBy>
  <dcterms:modified xsi:type="dcterms:W3CDTF">2021-06-15T09:19:12Z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10ff97bd0cb543e69fa410fc565bd8c6</vt:lpwstr>
  </property>
  <property fmtid="{D5CDD505-2E9C-101B-9397-08002B2CF9AE}" pid="3" name="KSOProductBuildVer">
    <vt:lpwstr>2052-11.1.0.10314</vt:lpwstr>
  </property>
</Properties>
</file>